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Default="00AF5CAD" w:rsidP="00E0751D">
      <w:pPr>
        <w:spacing w:after="0" w:line="240" w:lineRule="auto"/>
      </w:pPr>
    </w:p>
    <w:p w:rsidR="007711A0" w:rsidRDefault="007711A0" w:rsidP="00F301D2">
      <w:pPr>
        <w:spacing w:after="0" w:line="240" w:lineRule="auto"/>
        <w:jc w:val="both"/>
      </w:pPr>
      <w:r>
        <w:t xml:space="preserve">El Sistema para el Desarrollo Integral de la Familia del Municipio de San Luis de la Paz, </w:t>
      </w:r>
      <w:proofErr w:type="spellStart"/>
      <w:r>
        <w:t>Gto</w:t>
      </w:r>
      <w:proofErr w:type="spellEnd"/>
      <w:r>
        <w:t>.</w:t>
      </w:r>
      <w:r w:rsidR="005F73DA" w:rsidRPr="005F73DA">
        <w:t xml:space="preserve"> </w:t>
      </w:r>
      <w:r w:rsidR="00EE0241">
        <w:t xml:space="preserve">Muestra los reportes financieros </w:t>
      </w:r>
      <w:proofErr w:type="gramStart"/>
      <w:r w:rsidR="00EE0241">
        <w:t>d</w:t>
      </w:r>
      <w:r w:rsidR="005F73DA">
        <w:t>e</w:t>
      </w:r>
      <w:r w:rsidR="005C5C04">
        <w:t xml:space="preserve">l </w:t>
      </w:r>
      <w:r w:rsidR="00EE0241">
        <w:t xml:space="preserve"> ejercicio</w:t>
      </w:r>
      <w:proofErr w:type="gramEnd"/>
      <w:r w:rsidR="00EE0241">
        <w:t xml:space="preserve"> fiscal 2023</w:t>
      </w:r>
      <w:r w:rsidR="005F73DA">
        <w:t xml:space="preserve"> </w:t>
      </w:r>
      <w:r>
        <w:t xml:space="preserve"> un balance presupuestario de recursos disponible sostenible; siempre que como prioridad en el ejercicio del gasto público se considera los ingresos en proyección que puede obtener el Sistema.</w:t>
      </w:r>
    </w:p>
    <w:p w:rsidR="007711A0" w:rsidRPr="00AF5CAD" w:rsidRDefault="007711A0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5F73DA" w:rsidRDefault="005F73DA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7711A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:rsidR="00445610" w:rsidRDefault="00445610" w:rsidP="00445610">
      <w:pPr>
        <w:pStyle w:val="Prrafodelista"/>
        <w:spacing w:after="0" w:line="240" w:lineRule="auto"/>
        <w:jc w:val="both"/>
      </w:pPr>
    </w:p>
    <w:p w:rsidR="007019EE" w:rsidRDefault="007019EE" w:rsidP="007019EE">
      <w:pPr>
        <w:spacing w:after="0" w:line="240" w:lineRule="auto"/>
        <w:ind w:firstLine="360"/>
      </w:pPr>
      <w:r>
        <w:t>En este apartado no aplica.</w:t>
      </w:r>
    </w:p>
    <w:p w:rsidR="00F825BC" w:rsidRDefault="00F825BC" w:rsidP="007711A0">
      <w:pPr>
        <w:pStyle w:val="Prrafodelista"/>
        <w:spacing w:after="0" w:line="240" w:lineRule="auto"/>
        <w:jc w:val="both"/>
      </w:pP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483D38" w:rsidP="00E0751D">
      <w:pPr>
        <w:spacing w:after="0" w:line="240" w:lineRule="auto"/>
      </w:pPr>
      <w:r>
        <w:tab/>
        <w:t>En este apartado no aplica.</w:t>
      </w: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5579AB" w:rsidP="00E0751D">
      <w:pPr>
        <w:spacing w:after="0" w:line="240" w:lineRule="auto"/>
      </w:pPr>
      <w:r>
        <w:t>Se informará al 30</w:t>
      </w:r>
      <w:r w:rsidR="004205F9">
        <w:t xml:space="preserve"> </w:t>
      </w:r>
      <w:r w:rsidR="00642CDA">
        <w:t>de</w:t>
      </w:r>
      <w:r w:rsidR="00E040B5">
        <w:t xml:space="preserve"> septiembre</w:t>
      </w:r>
      <w:r>
        <w:t xml:space="preserve"> 2023</w:t>
      </w:r>
      <w:r w:rsidR="0097085D">
        <w:t>.</w:t>
      </w:r>
    </w:p>
    <w:p w:rsidR="005579AB" w:rsidRDefault="005579AB" w:rsidP="00E0751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6"/>
        <w:gridCol w:w="1676"/>
        <w:gridCol w:w="1676"/>
        <w:gridCol w:w="1676"/>
      </w:tblGrid>
      <w:tr w:rsidR="0067220B" w:rsidRPr="0067220B" w:rsidTr="0067220B">
        <w:trPr>
          <w:trHeight w:val="900"/>
        </w:trPr>
        <w:tc>
          <w:tcPr>
            <w:tcW w:w="10640" w:type="dxa"/>
            <w:gridSpan w:val="4"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SISTEMA PARA EL DESARROLLO INTEGRAL DE LA FAMILIA DE SAN LUIS PAZ, GTO.</w:t>
            </w:r>
            <w:r w:rsidRPr="0067220B">
              <w:rPr>
                <w:b/>
                <w:bCs/>
              </w:rPr>
              <w:br/>
              <w:t>ESTADO ANALÍTICO DEL EJERCICIO DEL PRESUPUESTO DE EGRESOS POR OBJETO DEL GASTO (CAPÍTULO Y CONCEPTO)</w:t>
            </w:r>
            <w:r w:rsidRPr="0067220B">
              <w:rPr>
                <w:b/>
                <w:bCs/>
              </w:rPr>
              <w:br/>
              <w:t xml:space="preserve"> DEL 01 DE ENERO DEL 2023 AL 30 DE SEPTIEMBRE DEL 2023</w:t>
            </w:r>
          </w:p>
        </w:tc>
      </w:tr>
      <w:tr w:rsidR="0067220B" w:rsidRPr="0067220B" w:rsidTr="0067220B">
        <w:trPr>
          <w:trHeight w:val="225"/>
        </w:trPr>
        <w:tc>
          <w:tcPr>
            <w:tcW w:w="4973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 </w:t>
            </w:r>
          </w:p>
        </w:tc>
        <w:tc>
          <w:tcPr>
            <w:tcW w:w="1889" w:type="dxa"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 </w:t>
            </w:r>
          </w:p>
        </w:tc>
        <w:tc>
          <w:tcPr>
            <w:tcW w:w="1889" w:type="dxa"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 </w:t>
            </w:r>
          </w:p>
        </w:tc>
        <w:tc>
          <w:tcPr>
            <w:tcW w:w="1889" w:type="dxa"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 </w:t>
            </w:r>
          </w:p>
        </w:tc>
      </w:tr>
      <w:tr w:rsidR="0067220B" w:rsidRPr="0067220B" w:rsidTr="0067220B">
        <w:trPr>
          <w:trHeight w:val="499"/>
        </w:trPr>
        <w:tc>
          <w:tcPr>
            <w:tcW w:w="4973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Concepto</w:t>
            </w:r>
          </w:p>
        </w:tc>
        <w:tc>
          <w:tcPr>
            <w:tcW w:w="1889" w:type="dxa"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Modificado</w:t>
            </w:r>
          </w:p>
        </w:tc>
        <w:tc>
          <w:tcPr>
            <w:tcW w:w="1889" w:type="dxa"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Devengado</w:t>
            </w:r>
          </w:p>
        </w:tc>
        <w:tc>
          <w:tcPr>
            <w:tcW w:w="1889" w:type="dxa"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Pagado</w:t>
            </w:r>
          </w:p>
        </w:tc>
      </w:tr>
      <w:tr w:rsidR="0067220B" w:rsidRPr="0067220B" w:rsidTr="0067220B">
        <w:trPr>
          <w:trHeight w:val="225"/>
        </w:trPr>
        <w:tc>
          <w:tcPr>
            <w:tcW w:w="4973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 </w:t>
            </w:r>
          </w:p>
        </w:tc>
        <w:tc>
          <w:tcPr>
            <w:tcW w:w="1889" w:type="dxa"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3 = (1 + 2 )</w:t>
            </w:r>
          </w:p>
        </w:tc>
        <w:tc>
          <w:tcPr>
            <w:tcW w:w="1889" w:type="dxa"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4</w:t>
            </w:r>
          </w:p>
        </w:tc>
        <w:tc>
          <w:tcPr>
            <w:tcW w:w="1889" w:type="dxa"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5</w:t>
            </w:r>
          </w:p>
        </w:tc>
      </w:tr>
      <w:tr w:rsidR="0067220B" w:rsidRPr="0067220B" w:rsidTr="0067220B">
        <w:trPr>
          <w:trHeight w:val="225"/>
        </w:trPr>
        <w:tc>
          <w:tcPr>
            <w:tcW w:w="4973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Servicios Personales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10,424,578.26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6,658,214.42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6,658,214.42</w:t>
            </w:r>
          </w:p>
        </w:tc>
      </w:tr>
      <w:tr w:rsidR="0067220B" w:rsidRPr="0067220B" w:rsidTr="0067220B">
        <w:trPr>
          <w:trHeight w:val="225"/>
        </w:trPr>
        <w:tc>
          <w:tcPr>
            <w:tcW w:w="4973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Materiales y Suministros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1,344,651.09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797,740.15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798,296.15</w:t>
            </w:r>
          </w:p>
        </w:tc>
      </w:tr>
      <w:tr w:rsidR="0067220B" w:rsidRPr="0067220B" w:rsidTr="0067220B">
        <w:trPr>
          <w:trHeight w:val="225"/>
        </w:trPr>
        <w:tc>
          <w:tcPr>
            <w:tcW w:w="4973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Servicios Generales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1,717,802.41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806,281.68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805,812.68</w:t>
            </w:r>
          </w:p>
        </w:tc>
      </w:tr>
      <w:tr w:rsidR="0067220B" w:rsidRPr="0067220B" w:rsidTr="0067220B">
        <w:trPr>
          <w:trHeight w:val="225"/>
        </w:trPr>
        <w:tc>
          <w:tcPr>
            <w:tcW w:w="4973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Transferencias, Asignaciones, Subsidios y Otras Ayudas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136,000.00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44,845.26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44,845.26</w:t>
            </w:r>
          </w:p>
        </w:tc>
      </w:tr>
      <w:tr w:rsidR="0067220B" w:rsidRPr="0067220B" w:rsidTr="0067220B">
        <w:trPr>
          <w:trHeight w:val="225"/>
        </w:trPr>
        <w:tc>
          <w:tcPr>
            <w:tcW w:w="4973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Bienes Muebles, Inmuebles e Intangibles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470,564.60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119,231.78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119,231.78</w:t>
            </w:r>
          </w:p>
        </w:tc>
      </w:tr>
      <w:tr w:rsidR="0067220B" w:rsidRPr="0067220B" w:rsidTr="0067220B">
        <w:trPr>
          <w:trHeight w:val="225"/>
        </w:trPr>
        <w:tc>
          <w:tcPr>
            <w:tcW w:w="4973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Inversión Pública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628,389.14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0.00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0.00</w:t>
            </w:r>
          </w:p>
        </w:tc>
      </w:tr>
      <w:tr w:rsidR="0067220B" w:rsidRPr="0067220B" w:rsidTr="0067220B">
        <w:trPr>
          <w:trHeight w:val="225"/>
        </w:trPr>
        <w:tc>
          <w:tcPr>
            <w:tcW w:w="4973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Inversiones Financieras y Otras Provisiones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0.00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0.00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0.00</w:t>
            </w:r>
          </w:p>
        </w:tc>
      </w:tr>
      <w:tr w:rsidR="0067220B" w:rsidRPr="0067220B" w:rsidTr="0067220B">
        <w:trPr>
          <w:trHeight w:val="225"/>
        </w:trPr>
        <w:tc>
          <w:tcPr>
            <w:tcW w:w="4973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Participaciones y Aportaciones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210,000.00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104,100.00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104,100.00</w:t>
            </w:r>
          </w:p>
        </w:tc>
      </w:tr>
      <w:tr w:rsidR="0067220B" w:rsidRPr="0067220B" w:rsidTr="0067220B">
        <w:trPr>
          <w:trHeight w:val="225"/>
        </w:trPr>
        <w:tc>
          <w:tcPr>
            <w:tcW w:w="4973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Deuda Pública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0.00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0.00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r w:rsidRPr="0067220B">
              <w:t>0.00</w:t>
            </w:r>
          </w:p>
        </w:tc>
      </w:tr>
      <w:tr w:rsidR="0067220B" w:rsidRPr="0067220B" w:rsidTr="0067220B">
        <w:trPr>
          <w:trHeight w:val="225"/>
        </w:trPr>
        <w:tc>
          <w:tcPr>
            <w:tcW w:w="4973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Total del Gasto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14,931,985.50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8,530,413.29</w:t>
            </w:r>
          </w:p>
        </w:tc>
        <w:tc>
          <w:tcPr>
            <w:tcW w:w="1889" w:type="dxa"/>
            <w:noWrap/>
            <w:hideMark/>
          </w:tcPr>
          <w:p w:rsidR="0067220B" w:rsidRPr="0067220B" w:rsidRDefault="0067220B" w:rsidP="0067220B">
            <w:pPr>
              <w:rPr>
                <w:b/>
                <w:bCs/>
              </w:rPr>
            </w:pPr>
            <w:r w:rsidRPr="0067220B">
              <w:rPr>
                <w:b/>
                <w:bCs/>
              </w:rPr>
              <w:t>8,530,500.29</w:t>
            </w:r>
          </w:p>
        </w:tc>
      </w:tr>
    </w:tbl>
    <w:p w:rsidR="003D1A09" w:rsidRDefault="003D1A09" w:rsidP="00E0751D">
      <w:pPr>
        <w:spacing w:after="0" w:line="240" w:lineRule="auto"/>
      </w:pPr>
    </w:p>
    <w:p w:rsidR="003D1A09" w:rsidRDefault="003D1A09" w:rsidP="00E0751D">
      <w:pPr>
        <w:spacing w:after="0" w:line="240" w:lineRule="auto"/>
      </w:pPr>
    </w:p>
    <w:p w:rsidR="005A042F" w:rsidRDefault="005A042F" w:rsidP="00E0751D">
      <w:pPr>
        <w:spacing w:after="0" w:line="240" w:lineRule="auto"/>
      </w:pPr>
    </w:p>
    <w:p w:rsidR="005A042F" w:rsidRDefault="005A042F" w:rsidP="00E0751D">
      <w:pPr>
        <w:spacing w:after="0" w:line="240" w:lineRule="auto"/>
      </w:pPr>
    </w:p>
    <w:p w:rsidR="005A042F" w:rsidRDefault="005A042F" w:rsidP="00E0751D">
      <w:pPr>
        <w:spacing w:after="0" w:line="240" w:lineRule="auto"/>
      </w:pPr>
    </w:p>
    <w:p w:rsidR="0074560D" w:rsidRDefault="0074560D" w:rsidP="00E0751D">
      <w:pPr>
        <w:spacing w:after="0" w:line="240" w:lineRule="auto"/>
      </w:pPr>
    </w:p>
    <w:p w:rsidR="00F1025D" w:rsidRDefault="00F1025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F1025D" w:rsidRPr="00F1025D" w:rsidRDefault="00F1025D" w:rsidP="00F1025D">
      <w:pPr>
        <w:spacing w:after="0" w:line="240" w:lineRule="auto"/>
        <w:jc w:val="both"/>
      </w:pPr>
      <w:r>
        <w:t xml:space="preserve">En éste periodo el </w:t>
      </w:r>
      <w:r w:rsidR="00445610">
        <w:t xml:space="preserve">Sistema para el Desarrollo Integral de la Familia del Municipio de San Luis de la Paz, </w:t>
      </w:r>
      <w:proofErr w:type="spellStart"/>
      <w:r w:rsidR="00445610">
        <w:t>Gto</w:t>
      </w:r>
      <w:proofErr w:type="spellEnd"/>
      <w:r w:rsidR="00445610">
        <w:t xml:space="preserve"> </w:t>
      </w:r>
      <w:r w:rsidRPr="00F1025D">
        <w:t xml:space="preserve">no cuenta con contratación de instrumentos de crédito o jurídicos relativos a que hace referencia el artículo 25 de la LDF. </w:t>
      </w:r>
    </w:p>
    <w:p w:rsidR="00E0751D" w:rsidRDefault="00E0751D" w:rsidP="00E0751D">
      <w:pPr>
        <w:spacing w:after="0" w:line="240" w:lineRule="auto"/>
        <w:jc w:val="both"/>
      </w:pPr>
    </w:p>
    <w:p w:rsidR="00F1025D" w:rsidRDefault="00F1025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F1025D" w:rsidRDefault="00F1025D" w:rsidP="00F1025D">
      <w:pPr>
        <w:spacing w:after="0" w:line="240" w:lineRule="auto"/>
        <w:jc w:val="both"/>
      </w:pPr>
      <w:r>
        <w:t xml:space="preserve">En éste periodo el Sistema para el Desarrollo Integral de la Familia del Municipio de San Luis de la Paz, </w:t>
      </w:r>
      <w:proofErr w:type="spellStart"/>
      <w:r>
        <w:t>Gto</w:t>
      </w:r>
      <w:proofErr w:type="spellEnd"/>
      <w:r>
        <w:t xml:space="preserve"> </w:t>
      </w:r>
      <w:r w:rsidRPr="00F1025D">
        <w:t xml:space="preserve">  no cuenta con contratación de instrumentos de crédito o jurídicos relativos a qu</w:t>
      </w:r>
      <w:r>
        <w:t>e hace referencia el artículo 31</w:t>
      </w:r>
      <w:r w:rsidRPr="00F1025D">
        <w:t xml:space="preserve"> de la LDF. </w:t>
      </w:r>
    </w:p>
    <w:p w:rsidR="00F1025D" w:rsidRDefault="00F1025D" w:rsidP="00F1025D">
      <w:pPr>
        <w:spacing w:after="0" w:line="240" w:lineRule="auto"/>
        <w:jc w:val="both"/>
      </w:pPr>
    </w:p>
    <w:p w:rsidR="00F1025D" w:rsidRDefault="00F1025D" w:rsidP="00F1025D">
      <w:pPr>
        <w:spacing w:after="0" w:line="240" w:lineRule="auto"/>
        <w:jc w:val="both"/>
      </w:pPr>
    </w:p>
    <w:p w:rsidR="00F1025D" w:rsidRDefault="00F1025D" w:rsidP="00F1025D">
      <w:pPr>
        <w:spacing w:after="0" w:line="240" w:lineRule="auto"/>
        <w:jc w:val="both"/>
      </w:pPr>
    </w:p>
    <w:p w:rsidR="00F1025D" w:rsidRDefault="00F1025D" w:rsidP="00F1025D">
      <w:pPr>
        <w:spacing w:after="0" w:line="240" w:lineRule="auto"/>
        <w:jc w:val="both"/>
      </w:pPr>
    </w:p>
    <w:p w:rsidR="00975976" w:rsidRDefault="00975976" w:rsidP="00F1025D">
      <w:pPr>
        <w:spacing w:after="0" w:line="240" w:lineRule="auto"/>
        <w:jc w:val="both"/>
      </w:pPr>
    </w:p>
    <w:p w:rsidR="00F1025D" w:rsidRPr="00F1025D" w:rsidRDefault="00F1025D" w:rsidP="00F1025D">
      <w:pPr>
        <w:spacing w:after="0" w:line="240" w:lineRule="auto"/>
        <w:jc w:val="both"/>
      </w:pPr>
    </w:p>
    <w:p w:rsidR="00F1025D" w:rsidRDefault="00F1025D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F1025D">
      <w:pPr>
        <w:pStyle w:val="Prrafodelista"/>
        <w:numPr>
          <w:ilvl w:val="0"/>
          <w:numId w:val="2"/>
        </w:numPr>
        <w:spacing w:after="0" w:line="240" w:lineRule="auto"/>
      </w:pPr>
      <w:r w:rsidRPr="0012031E">
        <w:t>La información relativa al cumplimiento de los convenios de Deuda Garantizada.</w:t>
      </w:r>
    </w:p>
    <w:p w:rsidR="00F1025D" w:rsidRDefault="00F1025D" w:rsidP="00F1025D">
      <w:pPr>
        <w:pStyle w:val="Prrafodelista"/>
        <w:spacing w:after="0" w:line="240" w:lineRule="auto"/>
      </w:pPr>
    </w:p>
    <w:p w:rsidR="00F1025D" w:rsidRPr="00F1025D" w:rsidRDefault="00F1025D" w:rsidP="00F1025D">
      <w:pPr>
        <w:spacing w:after="0" w:line="240" w:lineRule="auto"/>
        <w:jc w:val="both"/>
      </w:pPr>
      <w:r w:rsidRPr="00F1025D">
        <w:t xml:space="preserve">El </w:t>
      </w:r>
      <w:r>
        <w:t xml:space="preserve">Sistema para el Desarrollo Integral de la Familia del Municipio de San Luis de la Paz, </w:t>
      </w:r>
      <w:proofErr w:type="spellStart"/>
      <w:r>
        <w:t>Gto</w:t>
      </w:r>
      <w:proofErr w:type="spellEnd"/>
      <w:r>
        <w:t xml:space="preserve"> </w:t>
      </w:r>
      <w:r w:rsidRPr="00F1025D">
        <w:t xml:space="preserve"> no tiene convenios o instrumentos de crédito contratados al periodo de referencia por lo que no hay información a revelar de acuerdo a lo establecido por el artículo </w:t>
      </w:r>
      <w:proofErr w:type="spellStart"/>
      <w:r w:rsidRPr="00F1025D">
        <w:rPr>
          <w:i/>
        </w:rPr>
        <w:t>Artículo</w:t>
      </w:r>
      <w:proofErr w:type="spellEnd"/>
      <w:r w:rsidRPr="00F1025D">
        <w:rPr>
          <w:i/>
        </w:rPr>
        <w:t xml:space="preserve"> 40 LDF.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9A3370" w:rsidRDefault="009A3370" w:rsidP="0012031E">
      <w:pPr>
        <w:spacing w:after="0" w:line="240" w:lineRule="auto"/>
        <w:rPr>
          <w:i/>
        </w:rPr>
      </w:pPr>
      <w:bookmarkStart w:id="0" w:name="_GoBack"/>
      <w:bookmarkEnd w:id="0"/>
    </w:p>
    <w:p w:rsidR="009A3370" w:rsidRDefault="009A3370" w:rsidP="0012031E">
      <w:pPr>
        <w:spacing w:after="0" w:line="240" w:lineRule="auto"/>
        <w:rPr>
          <w:i/>
        </w:rPr>
      </w:pPr>
    </w:p>
    <w:p w:rsidR="009A3370" w:rsidRDefault="009A3370" w:rsidP="0012031E">
      <w:pPr>
        <w:spacing w:after="0" w:line="240" w:lineRule="auto"/>
        <w:rPr>
          <w:i/>
        </w:rPr>
      </w:pPr>
      <w:r w:rsidRPr="009A3370">
        <w:rPr>
          <w:i/>
        </w:rPr>
        <w:t>Bajo protesta de decir verdad declaramos que los Estados Financieros y sus notas, son razonablemente correctos y son responsabilidad del emisor.</w:t>
      </w:r>
    </w:p>
    <w:p w:rsidR="009A3370" w:rsidRDefault="009A3370" w:rsidP="0012031E">
      <w:pPr>
        <w:spacing w:after="0" w:line="240" w:lineRule="auto"/>
        <w:rPr>
          <w:i/>
        </w:rPr>
      </w:pPr>
    </w:p>
    <w:p w:rsidR="009A3370" w:rsidRDefault="009A3370" w:rsidP="0012031E">
      <w:pPr>
        <w:spacing w:after="0" w:line="240" w:lineRule="auto"/>
        <w:rPr>
          <w:i/>
        </w:rPr>
      </w:pPr>
    </w:p>
    <w:p w:rsidR="009A3370" w:rsidRDefault="009A3370" w:rsidP="0012031E">
      <w:pPr>
        <w:spacing w:after="0" w:line="240" w:lineRule="auto"/>
        <w:rPr>
          <w:i/>
        </w:rPr>
      </w:pPr>
      <w:r w:rsidRPr="009A3370">
        <w:rPr>
          <w:i/>
        </w:rPr>
        <w:t>AUTORIZA</w:t>
      </w:r>
    </w:p>
    <w:p w:rsidR="009A3370" w:rsidRDefault="009A3370" w:rsidP="0012031E">
      <w:pPr>
        <w:spacing w:after="0" w:line="240" w:lineRule="auto"/>
        <w:rPr>
          <w:i/>
        </w:rPr>
      </w:pPr>
    </w:p>
    <w:p w:rsidR="009A3370" w:rsidRDefault="009A3370" w:rsidP="0012031E">
      <w:pPr>
        <w:spacing w:after="0" w:line="240" w:lineRule="auto"/>
        <w:rPr>
          <w:i/>
        </w:rPr>
      </w:pPr>
    </w:p>
    <w:p w:rsidR="009A3370" w:rsidRDefault="009A3370" w:rsidP="0012031E">
      <w:pPr>
        <w:spacing w:after="0" w:line="240" w:lineRule="auto"/>
        <w:rPr>
          <w:i/>
        </w:rPr>
      </w:pPr>
      <w:r>
        <w:rPr>
          <w:i/>
        </w:rPr>
        <w:t>__________________________</w:t>
      </w:r>
    </w:p>
    <w:p w:rsidR="009A3370" w:rsidRDefault="009A3370" w:rsidP="0012031E">
      <w:pPr>
        <w:spacing w:after="0" w:line="240" w:lineRule="auto"/>
        <w:rPr>
          <w:i/>
        </w:rPr>
      </w:pPr>
      <w:r w:rsidRPr="009A3370">
        <w:rPr>
          <w:i/>
        </w:rPr>
        <w:t>LAE. PATRICIA ORTIZ BECERRA</w:t>
      </w:r>
    </w:p>
    <w:p w:rsidR="009A3370" w:rsidRDefault="009A3370" w:rsidP="0012031E">
      <w:pPr>
        <w:spacing w:after="0" w:line="240" w:lineRule="auto"/>
        <w:rPr>
          <w:i/>
        </w:rPr>
      </w:pPr>
      <w:r w:rsidRPr="009A3370">
        <w:rPr>
          <w:i/>
        </w:rPr>
        <w:t>DIRECTORA GENERAL DEL SMDIF.</w:t>
      </w:r>
    </w:p>
    <w:p w:rsidR="009A3370" w:rsidRDefault="009A3370" w:rsidP="0012031E">
      <w:pPr>
        <w:spacing w:after="0" w:line="240" w:lineRule="auto"/>
        <w:rPr>
          <w:i/>
        </w:rPr>
      </w:pPr>
    </w:p>
    <w:p w:rsidR="009A3370" w:rsidRDefault="009A3370" w:rsidP="0012031E">
      <w:pPr>
        <w:spacing w:after="0" w:line="240" w:lineRule="auto"/>
        <w:rPr>
          <w:i/>
        </w:rPr>
      </w:pPr>
      <w:r w:rsidRPr="009A3370">
        <w:rPr>
          <w:i/>
        </w:rPr>
        <w:t>GENERA</w:t>
      </w:r>
    </w:p>
    <w:p w:rsidR="009A3370" w:rsidRDefault="009A3370" w:rsidP="0012031E">
      <w:pPr>
        <w:spacing w:after="0" w:line="240" w:lineRule="auto"/>
        <w:rPr>
          <w:i/>
        </w:rPr>
      </w:pPr>
    </w:p>
    <w:p w:rsidR="009A3370" w:rsidRDefault="009A3370" w:rsidP="0012031E">
      <w:pPr>
        <w:spacing w:after="0" w:line="240" w:lineRule="auto"/>
        <w:rPr>
          <w:i/>
        </w:rPr>
      </w:pPr>
      <w:r>
        <w:rPr>
          <w:i/>
        </w:rPr>
        <w:t>__________________________________</w:t>
      </w:r>
    </w:p>
    <w:p w:rsidR="009A3370" w:rsidRDefault="009A3370" w:rsidP="0012031E">
      <w:pPr>
        <w:spacing w:after="0" w:line="240" w:lineRule="auto"/>
        <w:rPr>
          <w:i/>
        </w:rPr>
      </w:pPr>
      <w:r w:rsidRPr="009A3370">
        <w:rPr>
          <w:i/>
        </w:rPr>
        <w:t>LAE.MA.GUADALUPE HERNÁNDEZ HUERTA</w:t>
      </w:r>
    </w:p>
    <w:p w:rsidR="009A3370" w:rsidRDefault="009A3370" w:rsidP="0012031E">
      <w:pPr>
        <w:spacing w:after="0" w:line="240" w:lineRule="auto"/>
        <w:rPr>
          <w:i/>
        </w:rPr>
      </w:pPr>
      <w:r w:rsidRPr="009A3370">
        <w:rPr>
          <w:i/>
        </w:rPr>
        <w:t>ENCARGADA ADMINISTRATIVA Y CONTABLE DEL SMDIF</w:t>
      </w:r>
    </w:p>
    <w:sectPr w:rsidR="009A3370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EA" w:rsidRDefault="004C23EA" w:rsidP="0012031E">
      <w:pPr>
        <w:spacing w:after="0" w:line="240" w:lineRule="auto"/>
      </w:pPr>
      <w:r>
        <w:separator/>
      </w:r>
    </w:p>
  </w:endnote>
  <w:endnote w:type="continuationSeparator" w:id="0">
    <w:p w:rsidR="004C23EA" w:rsidRDefault="004C23E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20B" w:rsidRPr="0067220B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EA" w:rsidRDefault="004C23EA" w:rsidP="0012031E">
      <w:pPr>
        <w:spacing w:after="0" w:line="240" w:lineRule="auto"/>
      </w:pPr>
      <w:r>
        <w:separator/>
      </w:r>
    </w:p>
  </w:footnote>
  <w:footnote w:type="continuationSeparator" w:id="0">
    <w:p w:rsidR="004C23EA" w:rsidRDefault="004C23E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1E" w:rsidRDefault="003344AC" w:rsidP="0012031E">
    <w:pPr>
      <w:pStyle w:val="Encabezado"/>
      <w:jc w:val="center"/>
    </w:pPr>
    <w:r>
      <w:t>SISTEMA PARA EL DESARROLLO INTEGRAL DE LA FAMILIA DEL MUNICIPIO DE SAN LUIS DE LA PAZ, GTO.</w:t>
    </w:r>
  </w:p>
  <w:p w:rsidR="0012031E" w:rsidRDefault="00BD437D" w:rsidP="0012031E">
    <w:pPr>
      <w:pStyle w:val="Encabezado"/>
      <w:jc w:val="center"/>
    </w:pPr>
    <w:r>
      <w:t xml:space="preserve">CORRESPONDINTE </w:t>
    </w:r>
    <w:r w:rsidR="00E040B5">
      <w:t>Al 3er</w:t>
    </w:r>
    <w:r w:rsidR="00EE0241">
      <w:t xml:space="preserve"> TRIMESTRES </w:t>
    </w:r>
    <w:r w:rsidR="0005331E">
      <w:t xml:space="preserve">  202</w:t>
    </w:r>
    <w:r w:rsidR="00EE024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4FF"/>
    <w:multiLevelType w:val="hybridMultilevel"/>
    <w:tmpl w:val="B17C8E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506CA"/>
    <w:multiLevelType w:val="hybridMultilevel"/>
    <w:tmpl w:val="2CB819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25887"/>
    <w:rsid w:val="00050CF4"/>
    <w:rsid w:val="0005331E"/>
    <w:rsid w:val="00096112"/>
    <w:rsid w:val="000A746E"/>
    <w:rsid w:val="0012031E"/>
    <w:rsid w:val="00171518"/>
    <w:rsid w:val="001F72F6"/>
    <w:rsid w:val="002E2173"/>
    <w:rsid w:val="002F73E1"/>
    <w:rsid w:val="003344AC"/>
    <w:rsid w:val="003352DD"/>
    <w:rsid w:val="003D1A09"/>
    <w:rsid w:val="003D6825"/>
    <w:rsid w:val="004205F9"/>
    <w:rsid w:val="00435760"/>
    <w:rsid w:val="00442140"/>
    <w:rsid w:val="00445610"/>
    <w:rsid w:val="0046217D"/>
    <w:rsid w:val="00483D38"/>
    <w:rsid w:val="004C23EA"/>
    <w:rsid w:val="004C282B"/>
    <w:rsid w:val="004E741B"/>
    <w:rsid w:val="004F22AB"/>
    <w:rsid w:val="004F6F77"/>
    <w:rsid w:val="00516097"/>
    <w:rsid w:val="005579AB"/>
    <w:rsid w:val="005A042F"/>
    <w:rsid w:val="005C5C04"/>
    <w:rsid w:val="005D5CE3"/>
    <w:rsid w:val="005F73DA"/>
    <w:rsid w:val="00642CDA"/>
    <w:rsid w:val="0067220B"/>
    <w:rsid w:val="006954E3"/>
    <w:rsid w:val="006B3445"/>
    <w:rsid w:val="006D779B"/>
    <w:rsid w:val="007019EE"/>
    <w:rsid w:val="0070265A"/>
    <w:rsid w:val="0074560D"/>
    <w:rsid w:val="007568F7"/>
    <w:rsid w:val="007711A0"/>
    <w:rsid w:val="007771DB"/>
    <w:rsid w:val="00784CB7"/>
    <w:rsid w:val="007F6369"/>
    <w:rsid w:val="008667C9"/>
    <w:rsid w:val="009208D5"/>
    <w:rsid w:val="00940570"/>
    <w:rsid w:val="00942783"/>
    <w:rsid w:val="0096159D"/>
    <w:rsid w:val="0097085D"/>
    <w:rsid w:val="00975976"/>
    <w:rsid w:val="009870B6"/>
    <w:rsid w:val="009A3370"/>
    <w:rsid w:val="00A23A52"/>
    <w:rsid w:val="00A827B2"/>
    <w:rsid w:val="00A95F4D"/>
    <w:rsid w:val="00AF3F0C"/>
    <w:rsid w:val="00AF5CAD"/>
    <w:rsid w:val="00B01BDA"/>
    <w:rsid w:val="00B23353"/>
    <w:rsid w:val="00B262AB"/>
    <w:rsid w:val="00B325C9"/>
    <w:rsid w:val="00B41404"/>
    <w:rsid w:val="00B64138"/>
    <w:rsid w:val="00B84415"/>
    <w:rsid w:val="00BD3C26"/>
    <w:rsid w:val="00BD437D"/>
    <w:rsid w:val="00BE0DA0"/>
    <w:rsid w:val="00C13BE0"/>
    <w:rsid w:val="00C42FF2"/>
    <w:rsid w:val="00C56C4B"/>
    <w:rsid w:val="00D05E84"/>
    <w:rsid w:val="00D8411F"/>
    <w:rsid w:val="00DA31B4"/>
    <w:rsid w:val="00E023AD"/>
    <w:rsid w:val="00E040B5"/>
    <w:rsid w:val="00E0751D"/>
    <w:rsid w:val="00E2163A"/>
    <w:rsid w:val="00E321B7"/>
    <w:rsid w:val="00E86A73"/>
    <w:rsid w:val="00EE0241"/>
    <w:rsid w:val="00F1025D"/>
    <w:rsid w:val="00F301D2"/>
    <w:rsid w:val="00F825BC"/>
    <w:rsid w:val="00F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78EB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table" w:styleId="Tablaconcuadrcula">
    <w:name w:val="Table Grid"/>
    <w:basedOn w:val="Tablanormal"/>
    <w:uiPriority w:val="39"/>
    <w:rsid w:val="00F1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6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Desayunos</cp:lastModifiedBy>
  <cp:revision>70</cp:revision>
  <cp:lastPrinted>2023-07-22T20:10:00Z</cp:lastPrinted>
  <dcterms:created xsi:type="dcterms:W3CDTF">2019-04-10T19:20:00Z</dcterms:created>
  <dcterms:modified xsi:type="dcterms:W3CDTF">2023-10-17T20:34:00Z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